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95F" w:rsidRDefault="00306098" w:rsidP="00CA1838">
      <w:pPr>
        <w:jc w:val="both"/>
        <w:rPr>
          <w:rtl/>
        </w:rPr>
      </w:pPr>
      <w:r>
        <w:rPr>
          <w:rFonts w:hint="cs"/>
          <w:rtl/>
        </w:rPr>
        <w:t>בס"ד</w:t>
      </w:r>
    </w:p>
    <w:p w:rsidR="00306098" w:rsidRDefault="00306098" w:rsidP="00CA1838">
      <w:pPr>
        <w:pStyle w:val="1"/>
        <w:rPr>
          <w:rtl/>
        </w:rPr>
      </w:pPr>
      <w:r>
        <w:rPr>
          <w:rFonts w:hint="cs"/>
          <w:rtl/>
        </w:rPr>
        <w:t xml:space="preserve">דף הרחבות </w:t>
      </w:r>
      <w:r>
        <w:rPr>
          <w:rtl/>
        </w:rPr>
        <w:t>–</w:t>
      </w:r>
      <w:r>
        <w:rPr>
          <w:rFonts w:hint="cs"/>
          <w:rtl/>
        </w:rPr>
        <w:t xml:space="preserve"> סחר ה</w:t>
      </w:r>
      <w:r w:rsidR="00CA1838">
        <w:rPr>
          <w:rFonts w:hint="cs"/>
          <w:rtl/>
        </w:rPr>
        <w:t>ו</w:t>
      </w:r>
      <w:bookmarkStart w:id="0" w:name="_GoBack"/>
      <w:bookmarkEnd w:id="0"/>
      <w:r>
        <w:rPr>
          <w:rFonts w:hint="cs"/>
          <w:rtl/>
        </w:rPr>
        <w:t>גן</w:t>
      </w:r>
    </w:p>
    <w:p w:rsidR="00C148C6" w:rsidRPr="00432448" w:rsidRDefault="00C148C6" w:rsidP="00CA1838">
      <w:pPr>
        <w:pStyle w:val="a0"/>
        <w:numPr>
          <w:ilvl w:val="0"/>
          <w:numId w:val="1"/>
        </w:numPr>
        <w:jc w:val="both"/>
        <w:rPr>
          <w:rFonts w:cs="Guttman Drogolin"/>
          <w:sz w:val="20"/>
          <w:szCs w:val="20"/>
          <w:rtl/>
        </w:rPr>
      </w:pPr>
      <w:r w:rsidRPr="00432448">
        <w:rPr>
          <w:rFonts w:cs="Guttman Drogolin"/>
          <w:sz w:val="20"/>
          <w:szCs w:val="20"/>
          <w:rtl/>
        </w:rPr>
        <w:t xml:space="preserve">נראה כי חסידותו של ר' </w:t>
      </w:r>
      <w:proofErr w:type="spellStart"/>
      <w:r w:rsidRPr="00432448">
        <w:rPr>
          <w:rFonts w:cs="Guttman Drogolin"/>
          <w:sz w:val="20"/>
          <w:szCs w:val="20"/>
          <w:rtl/>
        </w:rPr>
        <w:t>פינחס</w:t>
      </w:r>
      <w:proofErr w:type="spellEnd"/>
      <w:r w:rsidRPr="00432448">
        <w:rPr>
          <w:rFonts w:cs="Guttman Drogolin"/>
          <w:sz w:val="20"/>
          <w:szCs w:val="20"/>
          <w:rtl/>
        </w:rPr>
        <w:t xml:space="preserve"> מלווה בנוקשות בלתי מתפשרת, המביאה שוב ושוב לתובענות ואף לחוסר רגישות כלפי אחרים</w:t>
      </w:r>
      <w:r w:rsidRPr="00432448">
        <w:rPr>
          <w:rFonts w:cs="Guttman Drogolin" w:hint="cs"/>
          <w:sz w:val="20"/>
          <w:szCs w:val="20"/>
          <w:rtl/>
        </w:rPr>
        <w:t xml:space="preserve"> (...)</w:t>
      </w:r>
      <w:r w:rsidR="00432448" w:rsidRPr="00432448">
        <w:rPr>
          <w:rFonts w:cs="Guttman Drogolin" w:hint="cs"/>
          <w:sz w:val="20"/>
          <w:szCs w:val="20"/>
          <w:rtl/>
        </w:rPr>
        <w:t xml:space="preserve"> </w:t>
      </w:r>
      <w:r w:rsidRPr="00432448">
        <w:rPr>
          <w:rFonts w:cs="Guttman Drogolin"/>
          <w:sz w:val="20"/>
          <w:szCs w:val="20"/>
          <w:rtl/>
        </w:rPr>
        <w:t xml:space="preserve">נראה שהמבט הכפול נוכח גם בדברי הסיום של רבי לסיפורנו: מצד אחד, בבכיו ובפשט דבריו הוא מאשר את מעלתו של ר' פנחס, שעתידה עוד לגבור בעולם הבא; אך בה בעת, עצם ההתייחסות למותו של ר' פנחס אוצרת בתוכה מידה של ביקורת: אמנם זו גדולה, אך היא מובילה את ר' פנחס אל מחוץ לעולם הזה, לבדידות המזהירה שלאחר המוות, אל עולם שבו השכר ניתן לכל אחד בנפרד לפי מעלתו ו'כל אחד נכווה מחופתו של חברו' (בבא </w:t>
      </w:r>
      <w:proofErr w:type="spellStart"/>
      <w:r w:rsidRPr="00432448">
        <w:rPr>
          <w:rFonts w:cs="Guttman Drogolin"/>
          <w:sz w:val="20"/>
          <w:szCs w:val="20"/>
          <w:rtl/>
        </w:rPr>
        <w:t>בתרא</w:t>
      </w:r>
      <w:proofErr w:type="spellEnd"/>
      <w:r w:rsidRPr="00432448">
        <w:rPr>
          <w:rFonts w:cs="Guttman Drogolin"/>
          <w:sz w:val="20"/>
          <w:szCs w:val="20"/>
          <w:rtl/>
        </w:rPr>
        <w:t xml:space="preserve"> </w:t>
      </w:r>
      <w:proofErr w:type="spellStart"/>
      <w:r w:rsidRPr="00432448">
        <w:rPr>
          <w:rFonts w:cs="Guttman Drogolin"/>
          <w:sz w:val="20"/>
          <w:szCs w:val="20"/>
          <w:rtl/>
        </w:rPr>
        <w:t>עה</w:t>
      </w:r>
      <w:proofErr w:type="spellEnd"/>
      <w:r w:rsidRPr="00432448">
        <w:rPr>
          <w:rFonts w:cs="Guttman Drogolin"/>
          <w:sz w:val="20"/>
          <w:szCs w:val="20"/>
          <w:rtl/>
        </w:rPr>
        <w:t xml:space="preserve"> ע"א), כלומר בוחן את מעלתו לעומת האחרים.</w:t>
      </w:r>
    </w:p>
    <w:p w:rsidR="008059EC" w:rsidRPr="00CA1838" w:rsidRDefault="00C148C6" w:rsidP="00CA1838">
      <w:pPr>
        <w:pStyle w:val="a0"/>
        <w:ind w:firstLine="720"/>
        <w:jc w:val="both"/>
        <w:rPr>
          <w:rFonts w:ascii="Nachlieli CLM" w:hAnsi="Nachlieli CLM" w:cs="Nachlieli CLM"/>
          <w:b/>
          <w:i/>
          <w:sz w:val="16"/>
          <w:szCs w:val="16"/>
          <w:rtl/>
        </w:rPr>
      </w:pPr>
      <w:r w:rsidRPr="00CA1838">
        <w:rPr>
          <w:rFonts w:ascii="Nachlieli CLM" w:hAnsi="Nachlieli CLM" w:cs="Nachlieli CLM" w:hint="cs"/>
          <w:b/>
          <w:i/>
          <w:sz w:val="16"/>
          <w:szCs w:val="16"/>
          <w:rtl/>
        </w:rPr>
        <w:t>(איתן אברמוביץ'</w:t>
      </w:r>
      <w:r w:rsidR="00CA1838" w:rsidRPr="00CA1838">
        <w:rPr>
          <w:rFonts w:ascii="Nachlieli CLM" w:hAnsi="Nachlieli CLM" w:cs="Nachlieli CLM" w:hint="cs"/>
          <w:b/>
          <w:i/>
          <w:sz w:val="16"/>
          <w:szCs w:val="16"/>
          <w:rtl/>
        </w:rPr>
        <w:t>, מתוך אתר ספר האגדה</w:t>
      </w:r>
      <w:r w:rsidRPr="00CA1838">
        <w:rPr>
          <w:rFonts w:ascii="Nachlieli CLM" w:hAnsi="Nachlieli CLM" w:cs="Nachlieli CLM" w:hint="cs"/>
          <w:b/>
          <w:i/>
          <w:sz w:val="16"/>
          <w:szCs w:val="16"/>
          <w:rtl/>
        </w:rPr>
        <w:t>)</w:t>
      </w:r>
    </w:p>
    <w:p w:rsidR="008059EC" w:rsidRPr="005064BD" w:rsidRDefault="008059EC" w:rsidP="00CA1838">
      <w:pPr>
        <w:pStyle w:val="a0"/>
        <w:numPr>
          <w:ilvl w:val="0"/>
          <w:numId w:val="1"/>
        </w:numPr>
        <w:jc w:val="both"/>
        <w:rPr>
          <w:rFonts w:cs="Guttman Drogolin"/>
          <w:sz w:val="20"/>
          <w:szCs w:val="20"/>
          <w:rtl/>
        </w:rPr>
      </w:pPr>
      <w:r w:rsidRPr="005064BD">
        <w:rPr>
          <w:rFonts w:cs="Guttman Drogolin"/>
          <w:sz w:val="20"/>
          <w:szCs w:val="20"/>
          <w:rtl/>
        </w:rPr>
        <w:t>ב־24 באפריל 2013 עלתה תעשיית הטקסטיל בבנגלדש לכותרות בשל אירוע נוראי שקרה בבניין "רנה פלאזה". הבניין בן שמונה הקומות שבו עבדו אלפי עובדים קרס בשעות הבוקר, וכתוצאה מהקריסה נהרגו יותר מ־1,000 עובדים, ונפצעו יותר מ־2,500. בבניין היו בנקים, דירות ומפעלי טקסטיל. הכול התפנו מהמבנה בעקבות סדקים שנראו בו, מלבד עובדי הטקסטיל שהתריעו בפני מעסיקיהם אך הוכרחו לחזור לעבודה באותו בוקר תחת איום שאם לא יעשו זאת עבודתם תילקח מהם. זהו האסון הגדול ביותר בתעשיית הטקסטיל.</w:t>
      </w:r>
    </w:p>
    <w:p w:rsidR="00CA1838" w:rsidRDefault="00CA1838" w:rsidP="00CA1838">
      <w:pPr>
        <w:pStyle w:val="a0"/>
        <w:ind w:left="720"/>
        <w:jc w:val="both"/>
        <w:rPr>
          <w:rFonts w:ascii="Nachlieli CLM" w:hAnsi="Nachlieli CLM" w:cs="Nachlieli CLM"/>
          <w:b/>
          <w:i/>
          <w:sz w:val="16"/>
          <w:szCs w:val="16"/>
          <w:rtl/>
        </w:rPr>
      </w:pPr>
      <w:r w:rsidRPr="00AD4FC1">
        <w:rPr>
          <w:rFonts w:ascii="Nachlieli CLM" w:hAnsi="Nachlieli CLM" w:cs="Nachlieli CLM" w:hint="cs"/>
          <w:b/>
          <w:i/>
          <w:sz w:val="16"/>
          <w:szCs w:val="16"/>
          <w:rtl/>
        </w:rPr>
        <w:t>(</w:t>
      </w:r>
      <w:proofErr w:type="spellStart"/>
      <w:r w:rsidRPr="00AD4FC1">
        <w:rPr>
          <w:rFonts w:ascii="Nachlieli CLM" w:hAnsi="Nachlieli CLM" w:cs="Nachlieli CLM" w:hint="cs"/>
          <w:b/>
          <w:i/>
          <w:sz w:val="16"/>
          <w:szCs w:val="16"/>
          <w:rtl/>
        </w:rPr>
        <w:t>שיראל</w:t>
      </w:r>
      <w:proofErr w:type="spellEnd"/>
      <w:r w:rsidRPr="00AD4FC1">
        <w:rPr>
          <w:rFonts w:ascii="Nachlieli CLM" w:hAnsi="Nachlieli CLM" w:cs="Nachlieli CLM" w:hint="cs"/>
          <w:b/>
          <w:i/>
          <w:sz w:val="16"/>
          <w:szCs w:val="16"/>
          <w:rtl/>
        </w:rPr>
        <w:t xml:space="preserve"> שמואל </w:t>
      </w:r>
      <w:proofErr w:type="spellStart"/>
      <w:r w:rsidRPr="00AD4FC1">
        <w:rPr>
          <w:rFonts w:ascii="Nachlieli CLM" w:hAnsi="Nachlieli CLM" w:cs="Nachlieli CLM" w:hint="cs"/>
          <w:b/>
          <w:i/>
          <w:sz w:val="16"/>
          <w:szCs w:val="16"/>
          <w:rtl/>
        </w:rPr>
        <w:t>זרובניק</w:t>
      </w:r>
      <w:proofErr w:type="spellEnd"/>
      <w:r w:rsidRPr="00AD4FC1">
        <w:rPr>
          <w:rFonts w:ascii="Nachlieli CLM" w:hAnsi="Nachlieli CLM" w:cs="Nachlieli CLM" w:hint="cs"/>
          <w:b/>
          <w:i/>
          <w:sz w:val="16"/>
          <w:szCs w:val="16"/>
          <w:rtl/>
        </w:rPr>
        <w:t>, אופנה בעייתית: המחיר המוסרי של תעשיית הבגדים, מוסף שבת של מקור ראשון, 26.2.18)</w:t>
      </w:r>
    </w:p>
    <w:p w:rsidR="008059EC" w:rsidRPr="00C91423" w:rsidRDefault="008059EC" w:rsidP="00CA1838">
      <w:pPr>
        <w:pStyle w:val="a0"/>
        <w:numPr>
          <w:ilvl w:val="0"/>
          <w:numId w:val="1"/>
        </w:numPr>
        <w:jc w:val="both"/>
        <w:rPr>
          <w:rFonts w:cs="Guttman Drogolin"/>
          <w:sz w:val="20"/>
          <w:szCs w:val="20"/>
          <w:rtl/>
        </w:rPr>
      </w:pPr>
      <w:r w:rsidRPr="00C91423">
        <w:rPr>
          <w:rFonts w:cs="Guttman Drogolin"/>
          <w:sz w:val="20"/>
          <w:szCs w:val="20"/>
          <w:rtl/>
        </w:rPr>
        <w:t>שכר המינימום של עובדי הענף</w:t>
      </w:r>
      <w:r w:rsidR="00CA1838">
        <w:rPr>
          <w:rFonts w:cs="Guttman Drogolin" w:hint="cs"/>
          <w:sz w:val="20"/>
          <w:szCs w:val="20"/>
          <w:rtl/>
        </w:rPr>
        <w:t xml:space="preserve"> </w:t>
      </w:r>
      <w:r w:rsidR="00CA1838" w:rsidRPr="00CA1838">
        <w:rPr>
          <w:rFonts w:ascii="Nachlieli CLM" w:hAnsi="Nachlieli CLM" w:cs="Nachlieli CLM"/>
          <w:sz w:val="20"/>
          <w:szCs w:val="20"/>
          <w:rtl/>
        </w:rPr>
        <w:t>(בבנגלדש)</w:t>
      </w:r>
      <w:r w:rsidRPr="00C91423">
        <w:rPr>
          <w:rFonts w:cs="Guttman Drogolin"/>
          <w:sz w:val="20"/>
          <w:szCs w:val="20"/>
          <w:rtl/>
        </w:rPr>
        <w:t xml:space="preserve"> הוא כ-37 דולרים בחודש, ובשנתיים האחרונות, ככל ששכרם העלוב של הפועלים נשחק באינפלציה הדו-ספרתית, הפכו ההפגנות וההתנגשויות האלימות עם השוטרים לתכופות יותר ויותר.</w:t>
      </w:r>
    </w:p>
    <w:p w:rsidR="008059EC" w:rsidRPr="00C91423" w:rsidRDefault="008059EC" w:rsidP="00CA1838">
      <w:pPr>
        <w:pStyle w:val="a0"/>
        <w:ind w:left="720"/>
        <w:jc w:val="both"/>
        <w:rPr>
          <w:rFonts w:cs="Guttman Drogolin"/>
          <w:sz w:val="20"/>
          <w:szCs w:val="20"/>
          <w:rtl/>
        </w:rPr>
      </w:pPr>
      <w:r w:rsidRPr="00C91423">
        <w:rPr>
          <w:rFonts w:cs="Guttman Drogolin"/>
          <w:sz w:val="20"/>
          <w:szCs w:val="20"/>
          <w:rtl/>
        </w:rPr>
        <w:t xml:space="preserve">השלטונות השתמשו בכל הכוח שברשותן כדי לדכא את ההפגנות ולמנוע את הפסקת ייצור הבגדים במפעלים. ועדה ממשלתית רמת דרג מפקחת על ענף ההלבשה, והיא כוללת קציני צבא, משטרה ונציגים של שירותי המודיעין. כוח משטרתי מיוחד מסייר באזורי התעשייה. שירותי מודיעין פנימיים מפקחים על התארגנויות של עובדים. </w:t>
      </w:r>
      <w:proofErr w:type="spellStart"/>
      <w:r w:rsidRPr="00C91423">
        <w:rPr>
          <w:rFonts w:cs="Guttman Drogolin"/>
          <w:sz w:val="20"/>
          <w:szCs w:val="20"/>
          <w:rtl/>
        </w:rPr>
        <w:t>אמינול</w:t>
      </w:r>
      <w:proofErr w:type="spellEnd"/>
      <w:r w:rsidRPr="00C91423">
        <w:rPr>
          <w:rFonts w:cs="Guttman Drogolin"/>
          <w:sz w:val="20"/>
          <w:szCs w:val="20"/>
          <w:rtl/>
        </w:rPr>
        <w:t xml:space="preserve"> אסלאם, אחד מראשי האיגודים המקצועיים, עונה ונרצח באפריל, אולם תיק הרצח עדיין פתוח. "בגדים הם ענף היצוא מספר 1 במדינה, והם מקור להכנסות רבות", אומר </w:t>
      </w:r>
      <w:proofErr w:type="spellStart"/>
      <w:r w:rsidRPr="00C91423">
        <w:rPr>
          <w:rFonts w:cs="Guttman Drogolin"/>
          <w:sz w:val="20"/>
          <w:szCs w:val="20"/>
          <w:rtl/>
        </w:rPr>
        <w:t>אלונזו</w:t>
      </w:r>
      <w:proofErr w:type="spellEnd"/>
      <w:r w:rsidRPr="00C91423">
        <w:rPr>
          <w:rFonts w:cs="Guttman Drogolin"/>
          <w:sz w:val="20"/>
          <w:szCs w:val="20"/>
          <w:rtl/>
        </w:rPr>
        <w:t xml:space="preserve"> סוסון, שמנהל מרכז למען זכויות העובדים בדאקה. "כל האטה בענף הזה הופכת מיד לעניין של ביטחון לאומי"</w:t>
      </w:r>
      <w:r w:rsidR="00C91423">
        <w:rPr>
          <w:rFonts w:cs="Guttman Drogolin" w:hint="cs"/>
          <w:sz w:val="20"/>
          <w:szCs w:val="20"/>
          <w:rtl/>
        </w:rPr>
        <w:t xml:space="preserve"> </w:t>
      </w:r>
      <w:r w:rsidRPr="00C91423">
        <w:rPr>
          <w:rFonts w:cs="Guttman Drogolin" w:hint="cs"/>
          <w:sz w:val="20"/>
          <w:szCs w:val="20"/>
          <w:rtl/>
        </w:rPr>
        <w:t>(...)</w:t>
      </w:r>
    </w:p>
    <w:p w:rsidR="008059EC" w:rsidRDefault="008059EC" w:rsidP="00CA1838">
      <w:pPr>
        <w:pStyle w:val="a0"/>
        <w:ind w:left="720"/>
        <w:jc w:val="both"/>
        <w:rPr>
          <w:rFonts w:cs="Guttman Drogolin"/>
          <w:sz w:val="20"/>
          <w:szCs w:val="20"/>
          <w:rtl/>
        </w:rPr>
      </w:pPr>
      <w:r w:rsidRPr="00C91423">
        <w:rPr>
          <w:rFonts w:cs="Guttman Drogolin"/>
          <w:sz w:val="20"/>
          <w:szCs w:val="20"/>
          <w:rtl/>
        </w:rPr>
        <w:t>נציג משרד הפנים של בנגלדש כתב בתשובה לביקורת העולמית שנמתחה על היחס לעובדים במדינה, כי הממשלה אינה מעדיפה את בעלי המפעלים על פני העובדים, אלא פועלת כ"בורר או שופט", ושומרת במקביל על סביבה "ידידותית להשקעות" בשביל משקיעים מבית ומבחוץ.</w:t>
      </w:r>
    </w:p>
    <w:p w:rsidR="00CA1838" w:rsidRPr="00CA1838" w:rsidRDefault="00CA1838" w:rsidP="00CA1838">
      <w:pPr>
        <w:pStyle w:val="a0"/>
        <w:ind w:left="720"/>
        <w:jc w:val="both"/>
        <w:rPr>
          <w:rFonts w:ascii="Nachlieli CLM" w:hAnsi="Nachlieli CLM" w:cs="Nachlieli CLM"/>
          <w:b/>
          <w:i/>
          <w:sz w:val="16"/>
          <w:szCs w:val="16"/>
          <w:rtl/>
        </w:rPr>
      </w:pPr>
      <w:r w:rsidRPr="00CA1838">
        <w:rPr>
          <w:rFonts w:ascii="Nachlieli CLM" w:hAnsi="Nachlieli CLM" w:cs="Nachlieli CLM" w:hint="cs"/>
          <w:b/>
          <w:i/>
          <w:sz w:val="16"/>
          <w:szCs w:val="16"/>
          <w:rtl/>
        </w:rPr>
        <w:t xml:space="preserve">(ג'ים </w:t>
      </w:r>
      <w:proofErr w:type="spellStart"/>
      <w:r w:rsidRPr="00CA1838">
        <w:rPr>
          <w:rFonts w:ascii="Nachlieli CLM" w:hAnsi="Nachlieli CLM" w:cs="Nachlieli CLM" w:hint="cs"/>
          <w:b/>
          <w:i/>
          <w:sz w:val="16"/>
          <w:szCs w:val="16"/>
          <w:rtl/>
        </w:rPr>
        <w:t>יארדלי</w:t>
      </w:r>
      <w:proofErr w:type="spellEnd"/>
      <w:r w:rsidRPr="00CA1838">
        <w:rPr>
          <w:rFonts w:ascii="Nachlieli CLM" w:hAnsi="Nachlieli CLM" w:cs="Nachlieli CLM" w:hint="cs"/>
          <w:b/>
          <w:i/>
          <w:sz w:val="16"/>
          <w:szCs w:val="16"/>
          <w:rtl/>
        </w:rPr>
        <w:t>, "ניצול תוצרת בנגלדש", ניו יורק טיימס, מובא באתר הארץ, 24.4.13)</w:t>
      </w:r>
    </w:p>
    <w:p w:rsidR="0099741D" w:rsidRPr="00C91423" w:rsidRDefault="0099741D" w:rsidP="00CA1838">
      <w:pPr>
        <w:pStyle w:val="a0"/>
        <w:numPr>
          <w:ilvl w:val="0"/>
          <w:numId w:val="1"/>
        </w:numPr>
        <w:jc w:val="both"/>
        <w:rPr>
          <w:rFonts w:cs="Guttman Drogolin"/>
          <w:sz w:val="20"/>
          <w:szCs w:val="20"/>
          <w:rtl/>
        </w:rPr>
      </w:pPr>
      <w:r w:rsidRPr="00C91423">
        <w:rPr>
          <w:rFonts w:cs="Guttman Drogolin"/>
          <w:sz w:val="20"/>
          <w:szCs w:val="20"/>
          <w:rtl/>
        </w:rPr>
        <w:t xml:space="preserve">האם הרצון לקדם סחר הוגן יכול לחיות בשלום עם הניסיון להוזיל את יוקר המחיה? "ברגע שמדובר על סחר הוגן - השכר צריך להיות הוגן, אחרת אנחנו משאירים את העניים עניים. נדרש שינוי תפיסה שורשי שיוביל למוכנות לשלם. זה מה שקורה באירופה, שם הסחר ההוגן הוא חלק משמעותי </w:t>
      </w:r>
      <w:r w:rsidRPr="00C91423">
        <w:rPr>
          <w:rFonts w:cs="Guttman Drogolin"/>
          <w:sz w:val="20"/>
          <w:szCs w:val="20"/>
          <w:rtl/>
        </w:rPr>
        <w:lastRenderedPageBreak/>
        <w:t>בכלכלה. כל צרכן צריך לבדוק עם עצמו איפה זה פוגש את המצפון שלו", אומרת שולה קשת מ"אחותי".</w:t>
      </w:r>
    </w:p>
    <w:p w:rsidR="0099741D" w:rsidRDefault="0099741D" w:rsidP="00CA1838">
      <w:pPr>
        <w:pStyle w:val="a0"/>
        <w:ind w:left="720"/>
        <w:jc w:val="both"/>
        <w:rPr>
          <w:rFonts w:cs="Guttman Drogolin"/>
          <w:sz w:val="20"/>
          <w:szCs w:val="20"/>
          <w:rtl/>
        </w:rPr>
      </w:pPr>
      <w:r w:rsidRPr="00C91423">
        <w:rPr>
          <w:rFonts w:cs="Guttman Drogolin"/>
          <w:sz w:val="20"/>
          <w:szCs w:val="20"/>
          <w:rtl/>
        </w:rPr>
        <w:t>לדבריה, "ברגע שבראש סדר העדיפויות עומד הרצון לשלם את המחיר הנמוך ביותר, זה בא על חשבון ניצול עובדים. הצרכן היום רוצה בזול, והוא רוצה כמה שיותר, אבל זה מקבע את האוכלוסיות החלשות במצב של עוני מחפיר. מה שעומד מאחורי הרעיון של סחר הוגן הוא לאפשר לאותן משפחות להתפרנס בכבוד".</w:t>
      </w:r>
    </w:p>
    <w:p w:rsidR="00432448" w:rsidRPr="00CA1838" w:rsidRDefault="00CA1838" w:rsidP="00CA1838">
      <w:pPr>
        <w:pStyle w:val="a0"/>
        <w:ind w:left="720"/>
        <w:jc w:val="both"/>
        <w:rPr>
          <w:rFonts w:ascii="Nachlieli CLM" w:hAnsi="Nachlieli CLM" w:cs="Nachlieli CLM" w:hint="cs"/>
          <w:b/>
          <w:i/>
          <w:sz w:val="16"/>
          <w:szCs w:val="16"/>
          <w:rtl/>
        </w:rPr>
      </w:pPr>
      <w:r w:rsidRPr="00CA1838">
        <w:rPr>
          <w:rFonts w:ascii="Nachlieli CLM" w:hAnsi="Nachlieli CLM" w:cs="Nachlieli CLM" w:hint="cs"/>
          <w:b/>
          <w:i/>
          <w:sz w:val="16"/>
          <w:szCs w:val="16"/>
          <w:rtl/>
        </w:rPr>
        <w:t xml:space="preserve">(מיכל רז חיימוביץ, צרכנות עם מצפון </w:t>
      </w:r>
      <w:r w:rsidRPr="00CA1838">
        <w:rPr>
          <w:rFonts w:ascii="Nachlieli CLM" w:hAnsi="Nachlieli CLM" w:cs="Nachlieli CLM"/>
          <w:b/>
          <w:i/>
          <w:sz w:val="16"/>
          <w:szCs w:val="16"/>
          <w:rtl/>
        </w:rPr>
        <w:t>–</w:t>
      </w:r>
      <w:r w:rsidRPr="00CA1838">
        <w:rPr>
          <w:rFonts w:ascii="Nachlieli CLM" w:hAnsi="Nachlieli CLM" w:cs="Nachlieli CLM" w:hint="cs"/>
          <w:b/>
          <w:i/>
          <w:sz w:val="16"/>
          <w:szCs w:val="16"/>
          <w:rtl/>
        </w:rPr>
        <w:t xml:space="preserve"> אילו חברות מקדמות בארץ סחר הוגן?, </w:t>
      </w:r>
      <w:r>
        <w:rPr>
          <w:rFonts w:ascii="Nachlieli CLM" w:hAnsi="Nachlieli CLM" w:cs="Nachlieli CLM" w:hint="cs"/>
          <w:b/>
          <w:i/>
          <w:sz w:val="16"/>
          <w:szCs w:val="16"/>
          <w:rtl/>
        </w:rPr>
        <w:t xml:space="preserve">אתר </w:t>
      </w:r>
      <w:r w:rsidRPr="00CA1838">
        <w:rPr>
          <w:rFonts w:ascii="Nachlieli CLM" w:hAnsi="Nachlieli CLM" w:cs="Nachlieli CLM" w:hint="cs"/>
          <w:b/>
          <w:i/>
          <w:sz w:val="16"/>
          <w:szCs w:val="16"/>
          <w:rtl/>
        </w:rPr>
        <w:t>גלובס</w:t>
      </w:r>
      <w:r>
        <w:rPr>
          <w:rFonts w:ascii="Nachlieli CLM" w:hAnsi="Nachlieli CLM" w:cs="Nachlieli CLM" w:hint="cs"/>
          <w:b/>
          <w:i/>
          <w:sz w:val="16"/>
          <w:szCs w:val="16"/>
          <w:rtl/>
        </w:rPr>
        <w:t>,</w:t>
      </w:r>
      <w:r w:rsidRPr="00CA1838">
        <w:rPr>
          <w:rFonts w:ascii="Nachlieli CLM" w:hAnsi="Nachlieli CLM" w:cs="Nachlieli CLM" w:hint="cs"/>
          <w:b/>
          <w:i/>
          <w:sz w:val="16"/>
          <w:szCs w:val="16"/>
          <w:rtl/>
        </w:rPr>
        <w:t xml:space="preserve"> 5.2.15)</w:t>
      </w:r>
    </w:p>
    <w:p w:rsidR="003626D6" w:rsidRDefault="00432448" w:rsidP="00CA1838">
      <w:pPr>
        <w:pStyle w:val="a0"/>
        <w:numPr>
          <w:ilvl w:val="0"/>
          <w:numId w:val="1"/>
        </w:numPr>
        <w:jc w:val="both"/>
        <w:rPr>
          <w:rFonts w:cs="Guttman Drogolin"/>
          <w:sz w:val="20"/>
          <w:szCs w:val="20"/>
          <w:rtl/>
        </w:rPr>
      </w:pPr>
      <w:r w:rsidRPr="00C91423">
        <w:rPr>
          <w:rFonts w:cs="Guttman Drogolin"/>
          <w:sz w:val="20"/>
          <w:szCs w:val="20"/>
          <w:rtl/>
        </w:rPr>
        <w:t>שאם לא ימצא לוקח אינו גונב</w:t>
      </w:r>
      <w:bookmarkStart w:id="1" w:name="_Hlk4542545"/>
      <w:r w:rsidR="00C91423">
        <w:rPr>
          <w:rFonts w:cs="Guttman Drogolin" w:hint="cs"/>
          <w:sz w:val="20"/>
          <w:szCs w:val="20"/>
          <w:rtl/>
        </w:rPr>
        <w:t xml:space="preserve"> (...) </w:t>
      </w:r>
      <w:r w:rsidRPr="00C91423">
        <w:rPr>
          <w:rFonts w:cs="Guttman Drogolin"/>
          <w:sz w:val="20"/>
          <w:szCs w:val="20"/>
          <w:rtl/>
        </w:rPr>
        <w:t>כשלא ימ</w:t>
      </w:r>
      <w:r w:rsidR="00C91423">
        <w:rPr>
          <w:rFonts w:cs="Guttman Drogolin" w:hint="cs"/>
          <w:sz w:val="20"/>
          <w:szCs w:val="20"/>
          <w:rtl/>
        </w:rPr>
        <w:t>ָּצֵ</w:t>
      </w:r>
      <w:r w:rsidRPr="00C91423">
        <w:rPr>
          <w:rFonts w:cs="Guttman Drogolin"/>
          <w:sz w:val="20"/>
          <w:szCs w:val="20"/>
          <w:rtl/>
        </w:rPr>
        <w:t>א לוקח</w:t>
      </w:r>
      <w:r w:rsidR="00C91423">
        <w:rPr>
          <w:rFonts w:cs="Guttman Drogolin" w:hint="cs"/>
          <w:sz w:val="20"/>
          <w:szCs w:val="20"/>
          <w:rtl/>
        </w:rPr>
        <w:t xml:space="preserve"> </w:t>
      </w:r>
      <w:r w:rsidR="00C91423" w:rsidRPr="00C91423">
        <w:rPr>
          <w:rFonts w:ascii="Nachlieli CLM" w:hAnsi="Nachlieli CLM" w:cs="Nachlieli CLM"/>
          <w:sz w:val="20"/>
          <w:szCs w:val="20"/>
          <w:rtl/>
        </w:rPr>
        <w:t>(מישהו שיקנה)</w:t>
      </w:r>
      <w:r w:rsidRPr="00C91423">
        <w:rPr>
          <w:rFonts w:cs="Guttman Drogolin"/>
          <w:sz w:val="20"/>
          <w:szCs w:val="20"/>
          <w:rtl/>
        </w:rPr>
        <w:t xml:space="preserve"> מהגנב ודאי לא היו גונבים, משו</w:t>
      </w:r>
      <w:r w:rsidR="00C91423">
        <w:rPr>
          <w:rFonts w:cs="Guttman Drogolin" w:hint="cs"/>
          <w:sz w:val="20"/>
          <w:szCs w:val="20"/>
          <w:rtl/>
        </w:rPr>
        <w:t>ם כך</w:t>
      </w:r>
      <w:r w:rsidRPr="00C91423">
        <w:rPr>
          <w:rFonts w:cs="Guttman Drogolin"/>
          <w:sz w:val="20"/>
          <w:szCs w:val="20"/>
          <w:rtl/>
        </w:rPr>
        <w:t xml:space="preserve"> כל אדם יחדל מלקנות כדי שלא יהא רגיל</w:t>
      </w:r>
      <w:r w:rsidR="00C91423">
        <w:rPr>
          <w:rFonts w:cs="Guttman Drogolin" w:hint="cs"/>
          <w:sz w:val="20"/>
          <w:szCs w:val="20"/>
          <w:rtl/>
        </w:rPr>
        <w:t xml:space="preserve"> </w:t>
      </w:r>
      <w:r w:rsidR="00C91423" w:rsidRPr="00C91423">
        <w:rPr>
          <w:rFonts w:ascii="Nachlieli CLM" w:hAnsi="Nachlieli CLM" w:cs="Nachlieli CLM"/>
          <w:sz w:val="20"/>
          <w:szCs w:val="20"/>
          <w:rtl/>
        </w:rPr>
        <w:t>(הגנב)</w:t>
      </w:r>
      <w:r w:rsidRPr="00C91423">
        <w:rPr>
          <w:rFonts w:cs="Guttman Drogolin"/>
          <w:sz w:val="20"/>
          <w:szCs w:val="20"/>
          <w:rtl/>
        </w:rPr>
        <w:t xml:space="preserve"> לגנוב</w:t>
      </w:r>
      <w:bookmarkEnd w:id="1"/>
      <w:r w:rsidR="00C91423">
        <w:rPr>
          <w:rFonts w:cs="Guttman Drogolin" w:hint="cs"/>
          <w:sz w:val="20"/>
          <w:szCs w:val="20"/>
          <w:rtl/>
        </w:rPr>
        <w:t>.</w:t>
      </w:r>
    </w:p>
    <w:p w:rsidR="006E40E7" w:rsidRPr="00CA1838" w:rsidRDefault="00C91423" w:rsidP="00CA1838">
      <w:pPr>
        <w:pStyle w:val="a0"/>
        <w:ind w:firstLine="720"/>
        <w:jc w:val="both"/>
        <w:rPr>
          <w:rFonts w:ascii="Nachlieli CLM" w:hAnsi="Nachlieli CLM" w:cs="Nachlieli CLM"/>
          <w:b/>
          <w:i/>
          <w:sz w:val="16"/>
          <w:szCs w:val="16"/>
          <w:rtl/>
        </w:rPr>
      </w:pPr>
      <w:bookmarkStart w:id="2" w:name="_Hlk4542557"/>
      <w:r w:rsidRPr="00CA1838">
        <w:rPr>
          <w:rFonts w:ascii="Nachlieli CLM" w:hAnsi="Nachlieli CLM" w:cs="Nachlieli CLM" w:hint="cs"/>
          <w:b/>
          <w:i/>
          <w:sz w:val="16"/>
          <w:szCs w:val="16"/>
          <w:rtl/>
        </w:rPr>
        <w:t>(</w:t>
      </w:r>
      <w:proofErr w:type="spellStart"/>
      <w:r w:rsidRPr="00CA1838">
        <w:rPr>
          <w:rFonts w:ascii="Nachlieli CLM" w:hAnsi="Nachlieli CLM" w:cs="Nachlieli CLM"/>
          <w:b/>
          <w:i/>
          <w:sz w:val="16"/>
          <w:szCs w:val="16"/>
          <w:rtl/>
        </w:rPr>
        <w:t>סמ"ע</w:t>
      </w:r>
      <w:proofErr w:type="spellEnd"/>
      <w:r w:rsidRPr="00CA1838">
        <w:rPr>
          <w:rFonts w:ascii="Nachlieli CLM" w:hAnsi="Nachlieli CLM" w:cs="Nachlieli CLM"/>
          <w:b/>
          <w:i/>
          <w:sz w:val="16"/>
          <w:szCs w:val="16"/>
          <w:rtl/>
        </w:rPr>
        <w:t xml:space="preserve"> סימן שנו </w:t>
      </w:r>
      <w:proofErr w:type="spellStart"/>
      <w:r w:rsidRPr="00CA1838">
        <w:rPr>
          <w:rFonts w:ascii="Nachlieli CLM" w:hAnsi="Nachlieli CLM" w:cs="Nachlieli CLM"/>
          <w:b/>
          <w:i/>
          <w:sz w:val="16"/>
          <w:szCs w:val="16"/>
          <w:rtl/>
        </w:rPr>
        <w:t>ס"ק</w:t>
      </w:r>
      <w:proofErr w:type="spellEnd"/>
      <w:r w:rsidRPr="00CA1838">
        <w:rPr>
          <w:rFonts w:ascii="Nachlieli CLM" w:hAnsi="Nachlieli CLM" w:cs="Nachlieli CLM"/>
          <w:b/>
          <w:i/>
          <w:sz w:val="16"/>
          <w:szCs w:val="16"/>
          <w:rtl/>
        </w:rPr>
        <w:t xml:space="preserve"> ב</w:t>
      </w:r>
      <w:r w:rsidRPr="00CA1838">
        <w:rPr>
          <w:rFonts w:ascii="Nachlieli CLM" w:hAnsi="Nachlieli CLM" w:cs="Nachlieli CLM" w:hint="cs"/>
          <w:b/>
          <w:i/>
          <w:sz w:val="16"/>
          <w:szCs w:val="16"/>
          <w:rtl/>
        </w:rPr>
        <w:t>)</w:t>
      </w:r>
      <w:bookmarkEnd w:id="2"/>
    </w:p>
    <w:p w:rsidR="00A634C4" w:rsidRPr="00C91423" w:rsidRDefault="00A634C4" w:rsidP="00CA1838">
      <w:pPr>
        <w:pStyle w:val="a0"/>
        <w:numPr>
          <w:ilvl w:val="0"/>
          <w:numId w:val="1"/>
        </w:numPr>
        <w:jc w:val="both"/>
        <w:rPr>
          <w:rFonts w:cs="Guttman Drogolin"/>
          <w:sz w:val="20"/>
          <w:szCs w:val="20"/>
          <w:rtl/>
        </w:rPr>
      </w:pPr>
      <w:r w:rsidRPr="00C91423">
        <w:rPr>
          <w:rFonts w:cs="Guttman Drogolin"/>
          <w:sz w:val="20"/>
          <w:szCs w:val="20"/>
          <w:rtl/>
        </w:rPr>
        <w:t xml:space="preserve">בניגוד למה שאנחנו אוהבים לחשוב, עבודת ילדים אינה “רוע מוחלט” שיש לאסור ולא משנות התוצאות; היא רע יחסי, ואם בני אדם בוחרים בה – וגם </w:t>
      </w:r>
      <w:proofErr w:type="spellStart"/>
      <w:r w:rsidRPr="00C91423">
        <w:rPr>
          <w:rFonts w:cs="Guttman Drogolin"/>
          <w:sz w:val="20"/>
          <w:szCs w:val="20"/>
          <w:rtl/>
        </w:rPr>
        <w:t>הבנגלדשים</w:t>
      </w:r>
      <w:proofErr w:type="spellEnd"/>
      <w:r w:rsidRPr="00C91423">
        <w:rPr>
          <w:rFonts w:cs="Guttman Drogolin"/>
          <w:sz w:val="20"/>
          <w:szCs w:val="20"/>
          <w:rtl/>
        </w:rPr>
        <w:t xml:space="preserve"> אוהבים את ילדיהם כמונו – הם עושים זאת פשוט כי החלופות האחרות גרועות עוד יותר</w:t>
      </w:r>
      <w:r w:rsidR="00C91423">
        <w:rPr>
          <w:rFonts w:cs="Guttman Drogolin" w:hint="cs"/>
          <w:sz w:val="20"/>
          <w:szCs w:val="20"/>
          <w:rtl/>
        </w:rPr>
        <w:t xml:space="preserve"> (</w:t>
      </w:r>
      <w:r w:rsidRPr="00C91423">
        <w:rPr>
          <w:rFonts w:cs="Guttman Drogolin" w:hint="cs"/>
          <w:sz w:val="20"/>
          <w:szCs w:val="20"/>
          <w:rtl/>
        </w:rPr>
        <w:t>...</w:t>
      </w:r>
      <w:r w:rsidR="00C91423">
        <w:rPr>
          <w:rFonts w:cs="Guttman Drogolin" w:hint="cs"/>
          <w:sz w:val="20"/>
          <w:szCs w:val="20"/>
          <w:rtl/>
        </w:rPr>
        <w:t xml:space="preserve">) </w:t>
      </w:r>
      <w:r w:rsidRPr="00C91423">
        <w:rPr>
          <w:rFonts w:cs="Guttman Drogolin"/>
          <w:sz w:val="20"/>
          <w:szCs w:val="20"/>
          <w:rtl/>
        </w:rPr>
        <w:t xml:space="preserve">מהי הדרך החוצה מעבודת הילדים? לא דרך חוקי עבודה; חוקי עבודה כבר קיימים ברוב המדינות המתפתחות, וכמו שראינו הם רק מרעים את המצב. הדרך החוצה היא אותה דרך שבה עברו מדינות המערב – תיעוש, התפתחות כלכלית, וכן הלאה; כל זה יוביל למצב שבו אנשים ירוויחו יותר ולכן פחות יצטרכו לשלוח את הילדים שלהם לעבוד. </w:t>
      </w:r>
      <w:proofErr w:type="spellStart"/>
      <w:r w:rsidRPr="00C91423">
        <w:rPr>
          <w:rFonts w:cs="Guttman Drogolin"/>
          <w:sz w:val="20"/>
          <w:szCs w:val="20"/>
          <w:rtl/>
        </w:rPr>
        <w:t>חרמות</w:t>
      </w:r>
      <w:proofErr w:type="spellEnd"/>
      <w:r w:rsidRPr="00C91423">
        <w:rPr>
          <w:rFonts w:cs="Guttman Drogolin"/>
          <w:sz w:val="20"/>
          <w:szCs w:val="20"/>
          <w:rtl/>
        </w:rPr>
        <w:t xml:space="preserve"> על עבודת ילדים עושים את המצב גרוע יותר, משום שהם דוחפים אנשים עניים לעוני מרוד יותר. למעשה, דווקא “סדנאות היזע” המושמצות הן-הן הדרך הטובה ביותר לצאת מן העוני המחפיר של חיי הכפר המאוד-לא-פסטורליים במדינות העולם השלישי, וחברות המעסיקות ילדים עושות את השירות ההומניטרי הטוב ביותר בדרך לחילוצן של משפחותיהם ממעגל העוני. או בקיצור: אתם רוצים לדאוג לילדים בעולם השלישי? קנו רק מחברות שמייצרות מוצרים על ידי עבודת ילדים, והחרימו כל מי שתורם בטיפשותו ליותר עבודת ילדים על ידי </w:t>
      </w:r>
      <w:proofErr w:type="spellStart"/>
      <w:r w:rsidRPr="00C91423">
        <w:rPr>
          <w:rFonts w:cs="Guttman Drogolin"/>
          <w:sz w:val="20"/>
          <w:szCs w:val="20"/>
          <w:rtl/>
        </w:rPr>
        <w:t>חרמות</w:t>
      </w:r>
      <w:proofErr w:type="spellEnd"/>
      <w:r w:rsidRPr="00C91423">
        <w:rPr>
          <w:rFonts w:cs="Guttman Drogolin"/>
          <w:sz w:val="20"/>
          <w:szCs w:val="20"/>
          <w:rtl/>
        </w:rPr>
        <w:t xml:space="preserve"> וחקיקה מזיקה. מוזר? אולי. אבל הנתונים וההיגיון מדברים בעד עצמם.</w:t>
      </w:r>
    </w:p>
    <w:p w:rsidR="00A634C4" w:rsidRPr="00CA1838" w:rsidRDefault="00A634C4" w:rsidP="00CA1838">
      <w:pPr>
        <w:pStyle w:val="a0"/>
        <w:ind w:firstLine="720"/>
        <w:jc w:val="both"/>
        <w:rPr>
          <w:rFonts w:ascii="Nachlieli CLM" w:hAnsi="Nachlieli CLM" w:cs="Nachlieli CLM" w:hint="cs"/>
          <w:b/>
          <w:i/>
          <w:sz w:val="16"/>
          <w:szCs w:val="16"/>
          <w:rtl/>
        </w:rPr>
      </w:pPr>
      <w:r w:rsidRPr="00CA1838">
        <w:rPr>
          <w:rFonts w:ascii="Nachlieli CLM" w:hAnsi="Nachlieli CLM" w:cs="Nachlieli CLM" w:hint="cs"/>
          <w:b/>
          <w:i/>
          <w:sz w:val="16"/>
          <w:szCs w:val="16"/>
          <w:rtl/>
        </w:rPr>
        <w:t xml:space="preserve">(הלל גרשוני, חקיקה נגד עבודת ילדים פוגעת בילדים, </w:t>
      </w:r>
      <w:r w:rsidR="00CA1838">
        <w:rPr>
          <w:rFonts w:ascii="Nachlieli CLM" w:hAnsi="Nachlieli CLM" w:cs="Nachlieli CLM" w:hint="cs"/>
          <w:b/>
          <w:i/>
          <w:sz w:val="16"/>
          <w:szCs w:val="16"/>
          <w:rtl/>
        </w:rPr>
        <w:t xml:space="preserve">אתר מידה,24.8.16 </w:t>
      </w:r>
      <w:r w:rsidRPr="00CA1838">
        <w:rPr>
          <w:rFonts w:ascii="Nachlieli CLM" w:hAnsi="Nachlieli CLM" w:cs="Nachlieli CLM" w:hint="cs"/>
          <w:b/>
          <w:i/>
          <w:sz w:val="16"/>
          <w:szCs w:val="16"/>
          <w:rtl/>
        </w:rPr>
        <w:t>)</w:t>
      </w:r>
    </w:p>
    <w:p w:rsidR="00A634C4" w:rsidRDefault="00A634C4" w:rsidP="00CA1838">
      <w:pPr>
        <w:pStyle w:val="a0"/>
        <w:jc w:val="both"/>
        <w:rPr>
          <w:rFonts w:hint="cs"/>
          <w:rtl/>
        </w:rPr>
      </w:pPr>
    </w:p>
    <w:p w:rsidR="00A634C4" w:rsidRDefault="00A634C4" w:rsidP="00CA1838">
      <w:pPr>
        <w:pStyle w:val="a0"/>
        <w:jc w:val="both"/>
        <w:rPr>
          <w:rtl/>
        </w:rPr>
      </w:pPr>
    </w:p>
    <w:p w:rsidR="0099741D" w:rsidRPr="00306098" w:rsidRDefault="0099741D" w:rsidP="00CA1838">
      <w:pPr>
        <w:pStyle w:val="a0"/>
        <w:jc w:val="both"/>
      </w:pPr>
    </w:p>
    <w:sectPr w:rsidR="0099741D" w:rsidRPr="00306098" w:rsidSect="00D711F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uttman Adii">
    <w:panose1 w:val="02010401010101010101"/>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Nachlieli CLM">
    <w:panose1 w:val="02000303000000000000"/>
    <w:charset w:val="00"/>
    <w:family w:val="auto"/>
    <w:pitch w:val="variable"/>
    <w:sig w:usb0="80000803" w:usb1="50002802"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06875"/>
    <w:multiLevelType w:val="hybridMultilevel"/>
    <w:tmpl w:val="F06CF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98"/>
    <w:rsid w:val="00116B52"/>
    <w:rsid w:val="00306098"/>
    <w:rsid w:val="003626D6"/>
    <w:rsid w:val="00432448"/>
    <w:rsid w:val="005B195F"/>
    <w:rsid w:val="006E40E7"/>
    <w:rsid w:val="008059EC"/>
    <w:rsid w:val="0089712A"/>
    <w:rsid w:val="008C7D4D"/>
    <w:rsid w:val="00916CB5"/>
    <w:rsid w:val="0097643F"/>
    <w:rsid w:val="0099741D"/>
    <w:rsid w:val="00A420CB"/>
    <w:rsid w:val="00A634C4"/>
    <w:rsid w:val="00B074AC"/>
    <w:rsid w:val="00C148C6"/>
    <w:rsid w:val="00C91423"/>
    <w:rsid w:val="00CA1838"/>
    <w:rsid w:val="00D711F9"/>
    <w:rsid w:val="00F10B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D273"/>
  <w15:chartTrackingRefBased/>
  <w15:docId w15:val="{1D54A5A7-BC3B-4906-8E2E-E576ED26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0"/>
    <w:next w:val="a0"/>
    <w:link w:val="10"/>
    <w:autoRedefine/>
    <w:uiPriority w:val="9"/>
    <w:qFormat/>
    <w:rsid w:val="00CA1838"/>
    <w:pPr>
      <w:keepNext/>
      <w:keepLines/>
      <w:spacing w:before="480"/>
      <w:jc w:val="center"/>
      <w:outlineLvl w:val="0"/>
    </w:pPr>
    <w:rPr>
      <w:rFonts w:asciiTheme="majorHAnsi" w:eastAsiaTheme="majorEastAsia" w:hAnsiTheme="majorHAnsi" w:cs="Guttman Adii"/>
      <w:b/>
      <w:bCs/>
      <w:sz w:val="28"/>
      <w:szCs w:val="32"/>
    </w:rPr>
  </w:style>
  <w:style w:type="paragraph" w:styleId="2">
    <w:name w:val="heading 2"/>
    <w:basedOn w:val="a0"/>
    <w:next w:val="a0"/>
    <w:link w:val="20"/>
    <w:autoRedefine/>
    <w:uiPriority w:val="9"/>
    <w:unhideWhenUsed/>
    <w:qFormat/>
    <w:rsid w:val="0097643F"/>
    <w:pPr>
      <w:keepNext/>
      <w:keepLines/>
      <w:spacing w:before="120"/>
      <w:outlineLvl w:val="1"/>
    </w:pPr>
    <w:rPr>
      <w:rFonts w:asciiTheme="majorHAnsi" w:eastAsiaTheme="majorEastAsia" w:hAnsiTheme="majorHAnsi"/>
      <w:b/>
      <w:bCs/>
      <w:sz w:val="26"/>
      <w:szCs w:val="26"/>
    </w:rPr>
  </w:style>
  <w:style w:type="paragraph" w:styleId="3">
    <w:name w:val="heading 3"/>
    <w:basedOn w:val="a0"/>
    <w:next w:val="a0"/>
    <w:link w:val="30"/>
    <w:autoRedefine/>
    <w:uiPriority w:val="9"/>
    <w:unhideWhenUsed/>
    <w:qFormat/>
    <w:rsid w:val="0097643F"/>
    <w:pPr>
      <w:keepNext/>
      <w:keepLines/>
      <w:spacing w:before="120"/>
      <w:outlineLvl w:val="2"/>
    </w:pPr>
    <w:rPr>
      <w:rFonts w:asciiTheme="majorHAnsi" w:eastAsiaTheme="majorEastAsia" w:hAnsiTheme="majorHAnsi"/>
      <w:b/>
      <w:bCs/>
    </w:rPr>
  </w:style>
  <w:style w:type="paragraph" w:styleId="4">
    <w:name w:val="heading 4"/>
    <w:basedOn w:val="a0"/>
    <w:next w:val="a0"/>
    <w:link w:val="40"/>
    <w:autoRedefine/>
    <w:uiPriority w:val="9"/>
    <w:unhideWhenUsed/>
    <w:qFormat/>
    <w:rsid w:val="00D711F9"/>
    <w:pPr>
      <w:keepNext/>
      <w:keepLines/>
      <w:spacing w:before="200"/>
      <w:outlineLvl w:val="3"/>
    </w:pPr>
    <w:rPr>
      <w:rFonts w:asciiTheme="majorHAnsi" w:eastAsiaTheme="majorEastAsia" w:hAnsiTheme="majorHAnsi"/>
      <w:b/>
      <w:i/>
      <w:u w:val="single"/>
    </w:rPr>
  </w:style>
  <w:style w:type="paragraph" w:styleId="5">
    <w:name w:val="heading 5"/>
    <w:basedOn w:val="a0"/>
    <w:next w:val="a0"/>
    <w:link w:val="50"/>
    <w:uiPriority w:val="9"/>
    <w:unhideWhenUsed/>
    <w:qFormat/>
    <w:rsid w:val="00D711F9"/>
    <w:pPr>
      <w:keepNext/>
      <w:keepLines/>
      <w:spacing w:before="40"/>
      <w:outlineLvl w:val="4"/>
    </w:pPr>
    <w:rPr>
      <w:rFonts w:asciiTheme="majorHAnsi" w:eastAsiaTheme="majorEastAsia" w:hAnsiTheme="majorHAnsi" w:cs="FrankRuehl"/>
      <w:color w:val="000000" w:themeColor="text1"/>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CA1838"/>
    <w:rPr>
      <w:rFonts w:asciiTheme="majorHAnsi" w:eastAsiaTheme="majorEastAsia" w:hAnsiTheme="majorHAnsi" w:cs="Guttman Adii"/>
      <w:b/>
      <w:bCs/>
      <w:sz w:val="28"/>
      <w:szCs w:val="32"/>
    </w:rPr>
  </w:style>
  <w:style w:type="paragraph" w:styleId="a0">
    <w:name w:val="No Spacing"/>
    <w:uiPriority w:val="1"/>
    <w:qFormat/>
    <w:rsid w:val="00A420CB"/>
    <w:pPr>
      <w:bidi/>
      <w:spacing w:after="0" w:line="360" w:lineRule="auto"/>
    </w:pPr>
  </w:style>
  <w:style w:type="character" w:customStyle="1" w:styleId="20">
    <w:name w:val="כותרת 2 תו"/>
    <w:basedOn w:val="a1"/>
    <w:link w:val="2"/>
    <w:uiPriority w:val="9"/>
    <w:rsid w:val="0097643F"/>
    <w:rPr>
      <w:rFonts w:asciiTheme="majorHAnsi" w:eastAsiaTheme="majorEastAsia" w:hAnsiTheme="majorHAnsi"/>
      <w:b/>
      <w:bCs/>
      <w:sz w:val="26"/>
      <w:szCs w:val="26"/>
    </w:rPr>
  </w:style>
  <w:style w:type="character" w:customStyle="1" w:styleId="30">
    <w:name w:val="כותרת 3 תו"/>
    <w:basedOn w:val="a1"/>
    <w:link w:val="3"/>
    <w:uiPriority w:val="9"/>
    <w:rsid w:val="0097643F"/>
    <w:rPr>
      <w:rFonts w:asciiTheme="majorHAnsi" w:eastAsiaTheme="majorEastAsia" w:hAnsiTheme="majorHAnsi"/>
      <w:b/>
      <w:bCs/>
    </w:rPr>
  </w:style>
  <w:style w:type="character" w:customStyle="1" w:styleId="40">
    <w:name w:val="כותרת 4 תו"/>
    <w:basedOn w:val="a1"/>
    <w:link w:val="4"/>
    <w:uiPriority w:val="9"/>
    <w:rsid w:val="00D711F9"/>
    <w:rPr>
      <w:rFonts w:asciiTheme="majorHAnsi" w:eastAsiaTheme="majorEastAsia" w:hAnsiTheme="majorHAnsi"/>
      <w:b/>
      <w:i/>
      <w:u w:val="single"/>
    </w:rPr>
  </w:style>
  <w:style w:type="character" w:customStyle="1" w:styleId="50">
    <w:name w:val="כותרת 5 תו"/>
    <w:basedOn w:val="a1"/>
    <w:link w:val="5"/>
    <w:uiPriority w:val="9"/>
    <w:rsid w:val="00D711F9"/>
    <w:rPr>
      <w:rFonts w:asciiTheme="majorHAnsi" w:eastAsiaTheme="majorEastAsia" w:hAnsiTheme="majorHAnsi" w:cs="FrankRuehl"/>
      <w:color w:val="000000" w:themeColor="text1"/>
      <w:u w:val="single"/>
    </w:rPr>
  </w:style>
  <w:style w:type="paragraph" w:styleId="a4">
    <w:name w:val="Quote"/>
    <w:basedOn w:val="a0"/>
    <w:next w:val="a0"/>
    <w:link w:val="a5"/>
    <w:uiPriority w:val="29"/>
    <w:qFormat/>
    <w:rsid w:val="00916CB5"/>
    <w:pPr>
      <w:ind w:left="851" w:right="862"/>
    </w:pPr>
    <w:rPr>
      <w:rFonts w:cs="Guttman Keren"/>
      <w:i/>
      <w:color w:val="404040" w:themeColor="text1" w:themeTint="BF"/>
    </w:rPr>
  </w:style>
  <w:style w:type="character" w:customStyle="1" w:styleId="a5">
    <w:name w:val="ציטוט תו"/>
    <w:basedOn w:val="a1"/>
    <w:link w:val="a4"/>
    <w:uiPriority w:val="29"/>
    <w:rsid w:val="00916CB5"/>
    <w:rPr>
      <w:rFonts w:cs="Guttman Keren"/>
      <w:i/>
      <w:color w:val="404040" w:themeColor="text1" w:themeTint="BF"/>
    </w:rPr>
  </w:style>
  <w:style w:type="character" w:styleId="Hyperlink">
    <w:name w:val="Hyperlink"/>
    <w:basedOn w:val="a1"/>
    <w:uiPriority w:val="99"/>
    <w:unhideWhenUsed/>
    <w:rsid w:val="00116B52"/>
    <w:rPr>
      <w:color w:val="0563C1" w:themeColor="hyperlink"/>
      <w:u w:val="single"/>
    </w:rPr>
  </w:style>
  <w:style w:type="character" w:styleId="FollowedHyperlink">
    <w:name w:val="FollowedHyperlink"/>
    <w:basedOn w:val="a1"/>
    <w:uiPriority w:val="99"/>
    <w:semiHidden/>
    <w:unhideWhenUsed/>
    <w:rsid w:val="00C148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703</Words>
  <Characters>3519</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יובל</dc:creator>
  <cp:keywords/>
  <dc:description/>
  <cp:lastModifiedBy>יובל</cp:lastModifiedBy>
  <cp:revision>2</cp:revision>
  <dcterms:created xsi:type="dcterms:W3CDTF">2019-03-26T23:15:00Z</dcterms:created>
  <dcterms:modified xsi:type="dcterms:W3CDTF">2019-03-28T00:32:00Z</dcterms:modified>
</cp:coreProperties>
</file>